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F2" w:rsidRPr="000B5972" w:rsidRDefault="006B46F2">
      <w:pPr>
        <w:widowControl w:val="0"/>
        <w:autoSpaceDE w:val="0"/>
        <w:autoSpaceDN w:val="0"/>
        <w:adjustRightInd w:val="0"/>
        <w:spacing w:after="0" w:line="1" w:lineRule="atLeast"/>
        <w:rPr>
          <w:rFonts w:ascii="Arial" w:hAnsi="Arial" w:cs="Arial"/>
          <w:sz w:val="2"/>
          <w:szCs w:val="2"/>
          <w:lang w:val="en-US"/>
        </w:rPr>
      </w:pPr>
    </w:p>
    <w:p w:rsidR="006B46F2" w:rsidRPr="000B5972" w:rsidRDefault="00E6737C">
      <w:pPr>
        <w:widowControl w:val="0"/>
        <w:autoSpaceDE w:val="0"/>
        <w:autoSpaceDN w:val="0"/>
        <w:adjustRightInd w:val="0"/>
        <w:spacing w:before="902" w:after="0" w:line="144" w:lineRule="atLeast"/>
        <w:ind w:left="6974"/>
        <w:rPr>
          <w:rFonts w:ascii="Arial" w:hAnsi="Arial" w:cs="Arial"/>
          <w:color w:val="000000"/>
          <w:sz w:val="15"/>
          <w:szCs w:val="15"/>
          <w:highlight w:val="white"/>
          <w:lang w:val="en-US"/>
        </w:rPr>
      </w:pPr>
      <w:r w:rsidRPr="000B5972">
        <w:rPr>
          <w:rFonts w:ascii="Arial" w:hAnsi="Arial" w:cs="Arial"/>
          <w:color w:val="000000"/>
          <w:sz w:val="15"/>
          <w:szCs w:val="15"/>
          <w:highlight w:val="white"/>
          <w:lang w:val="en-US"/>
        </w:rPr>
        <w:t xml:space="preserve">-1 </w:t>
      </w:r>
    </w:p>
    <w:p w:rsidR="006B46F2" w:rsidRPr="000B5972" w:rsidRDefault="00E6737C">
      <w:pPr>
        <w:widowControl w:val="0"/>
        <w:autoSpaceDE w:val="0"/>
        <w:autoSpaceDN w:val="0"/>
        <w:adjustRightInd w:val="0"/>
        <w:spacing w:after="0" w:line="240" w:lineRule="auto"/>
        <w:ind w:left="2319" w:right="777" w:firstLine="289"/>
        <w:rPr>
          <w:rFonts w:ascii="Arial" w:hAnsi="Arial" w:cs="Arial"/>
          <w:b/>
          <w:bCs/>
          <w:color w:val="000000"/>
          <w:sz w:val="20"/>
          <w:szCs w:val="20"/>
          <w:highlight w:val="white"/>
          <w:lang w:val="en-US"/>
        </w:rPr>
      </w:pPr>
      <w:r w:rsidRPr="000B5972">
        <w:rPr>
          <w:rFonts w:ascii="Arial" w:hAnsi="Arial" w:cs="Arial"/>
          <w:b/>
          <w:bCs/>
          <w:color w:val="000000"/>
          <w:sz w:val="20"/>
          <w:szCs w:val="20"/>
          <w:highlight w:val="white"/>
          <w:lang w:val="en-US"/>
        </w:rPr>
        <w:t>Amendment to the Articles of Association</w:t>
      </w:r>
    </w:p>
    <w:p w:rsidR="006B46F2" w:rsidRPr="000B5972" w:rsidRDefault="00E6737C">
      <w:pPr>
        <w:widowControl w:val="0"/>
        <w:autoSpaceDE w:val="0"/>
        <w:autoSpaceDN w:val="0"/>
        <w:adjustRightInd w:val="0"/>
        <w:spacing w:after="0" w:line="240" w:lineRule="auto"/>
        <w:ind w:left="2319" w:right="777" w:firstLine="289"/>
        <w:rPr>
          <w:rFonts w:ascii="Arial" w:hAnsi="Arial" w:cs="Arial"/>
          <w:b/>
          <w:bCs/>
          <w:color w:val="000000"/>
          <w:sz w:val="20"/>
          <w:szCs w:val="20"/>
          <w:highlight w:val="white"/>
          <w:lang w:val="en-US"/>
        </w:rPr>
      </w:pPr>
      <w:r w:rsidRPr="000B5972">
        <w:rPr>
          <w:rFonts w:ascii="Arial" w:hAnsi="Arial" w:cs="Arial"/>
          <w:b/>
          <w:bCs/>
          <w:color w:val="000000"/>
          <w:sz w:val="20"/>
          <w:szCs w:val="20"/>
          <w:highlight w:val="white"/>
          <w:lang w:val="en-US"/>
        </w:rPr>
        <w:t xml:space="preserve">       </w:t>
      </w:r>
    </w:p>
    <w:p w:rsidR="006B46F2" w:rsidRPr="000B5972" w:rsidRDefault="00E6737C">
      <w:pPr>
        <w:widowControl w:val="0"/>
        <w:autoSpaceDE w:val="0"/>
        <w:autoSpaceDN w:val="0"/>
        <w:adjustRightInd w:val="0"/>
        <w:spacing w:after="0" w:line="240" w:lineRule="auto"/>
        <w:ind w:left="2319" w:right="777" w:firstLine="289"/>
        <w:rPr>
          <w:rFonts w:ascii="Arial" w:hAnsi="Arial" w:cs="Arial"/>
          <w:i/>
          <w:iCs/>
          <w:color w:val="000000"/>
          <w:sz w:val="16"/>
          <w:szCs w:val="16"/>
          <w:highlight w:val="white"/>
          <w:lang w:val="en-US"/>
        </w:rPr>
      </w:pPr>
      <w:r w:rsidRPr="000B5972">
        <w:rPr>
          <w:rFonts w:ascii="Arial" w:hAnsi="Arial" w:cs="Arial"/>
          <w:b/>
          <w:bCs/>
          <w:color w:val="000000"/>
          <w:sz w:val="20"/>
          <w:szCs w:val="20"/>
          <w:highlight w:val="white"/>
          <w:lang w:val="en-US"/>
        </w:rPr>
        <w:t xml:space="preserve">    </w:t>
      </w:r>
      <w:proofErr w:type="spellStart"/>
      <w:r w:rsidRPr="000B5972">
        <w:rPr>
          <w:rFonts w:ascii="Arial" w:hAnsi="Arial" w:cs="Arial"/>
          <w:i/>
          <w:iCs/>
          <w:color w:val="000000"/>
          <w:sz w:val="16"/>
          <w:szCs w:val="16"/>
          <w:highlight w:val="white"/>
          <w:lang w:val="en-US"/>
        </w:rPr>
        <w:t>Stichting</w:t>
      </w:r>
      <w:proofErr w:type="spellEnd"/>
      <w:r w:rsidRPr="000B5972">
        <w:rPr>
          <w:rFonts w:ascii="Arial" w:hAnsi="Arial" w:cs="Arial"/>
          <w:i/>
          <w:iCs/>
          <w:color w:val="000000"/>
          <w:sz w:val="16"/>
          <w:szCs w:val="16"/>
          <w:highlight w:val="white"/>
          <w:lang w:val="en-US"/>
        </w:rPr>
        <w:t xml:space="preserve"> Monsanto Tribunal </w:t>
      </w:r>
    </w:p>
    <w:p w:rsidR="006B46F2" w:rsidRPr="000B5972" w:rsidRDefault="00E6737C">
      <w:pPr>
        <w:widowControl w:val="0"/>
        <w:autoSpaceDE w:val="0"/>
        <w:autoSpaceDN w:val="0"/>
        <w:adjustRightInd w:val="0"/>
        <w:spacing w:after="0" w:line="326" w:lineRule="atLeast"/>
        <w:ind w:left="9"/>
        <w:rPr>
          <w:rFonts w:ascii="Arial" w:hAnsi="Arial" w:cs="Arial"/>
          <w:b/>
          <w:bCs/>
          <w:color w:val="000000"/>
          <w:sz w:val="20"/>
          <w:szCs w:val="20"/>
          <w:highlight w:val="white"/>
          <w:lang w:val="en-US"/>
        </w:rPr>
      </w:pPr>
      <w:r w:rsidRPr="000B5972">
        <w:rPr>
          <w:rFonts w:ascii="Arial" w:hAnsi="Arial" w:cs="Arial"/>
          <w:b/>
          <w:bCs/>
          <w:color w:val="000000"/>
          <w:sz w:val="20"/>
          <w:szCs w:val="20"/>
          <w:highlight w:val="white"/>
          <w:lang w:val="en-US"/>
        </w:rPr>
        <w:t xml:space="preserve">Premises </w:t>
      </w:r>
    </w:p>
    <w:p w:rsidR="006B46F2" w:rsidRPr="000B5972" w:rsidRDefault="00E6737C">
      <w:pPr>
        <w:widowControl w:val="0"/>
        <w:autoSpaceDE w:val="0"/>
        <w:autoSpaceDN w:val="0"/>
        <w:adjustRightInd w:val="0"/>
        <w:spacing w:after="0" w:line="326" w:lineRule="atLeast"/>
        <w:ind w:left="14" w:right="14"/>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The person appearing made the following statement in advance: </w:t>
      </w:r>
    </w:p>
    <w:p w:rsidR="006B46F2" w:rsidRPr="000B5972" w:rsidRDefault="00E6737C" w:rsidP="000B5972">
      <w:pPr>
        <w:widowControl w:val="0"/>
        <w:numPr>
          <w:ilvl w:val="0"/>
          <w:numId w:val="1"/>
        </w:numPr>
        <w:autoSpaceDE w:val="0"/>
        <w:autoSpaceDN w:val="0"/>
        <w:adjustRightInd w:val="0"/>
        <w:spacing w:after="0" w:line="326" w:lineRule="atLeast"/>
        <w:ind w:left="720" w:right="19" w:hanging="360"/>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The Foundation was formed by a deed executed on the part of the aforementioned civil-law notary </w:t>
      </w:r>
      <w:proofErr w:type="spellStart"/>
      <w:r w:rsidRPr="000B5972">
        <w:rPr>
          <w:rFonts w:ascii="Arial" w:hAnsi="Arial" w:cs="Arial"/>
          <w:color w:val="000000"/>
          <w:sz w:val="19"/>
          <w:szCs w:val="19"/>
          <w:highlight w:val="white"/>
          <w:lang w:val="en-US"/>
        </w:rPr>
        <w:t>Boeser</w:t>
      </w:r>
      <w:proofErr w:type="spellEnd"/>
      <w:r w:rsidRPr="000B5972">
        <w:rPr>
          <w:rFonts w:ascii="Arial" w:hAnsi="Arial" w:cs="Arial"/>
          <w:color w:val="000000"/>
          <w:sz w:val="19"/>
          <w:szCs w:val="19"/>
          <w:highlight w:val="white"/>
          <w:lang w:val="en-US"/>
        </w:rPr>
        <w:t xml:space="preserve"> in Haarlem on the fourth of June two thousand and fifteen; </w:t>
      </w:r>
    </w:p>
    <w:p w:rsidR="006B46F2" w:rsidRPr="000B5972" w:rsidRDefault="00E6737C" w:rsidP="000B5972">
      <w:pPr>
        <w:widowControl w:val="0"/>
        <w:numPr>
          <w:ilvl w:val="0"/>
          <w:numId w:val="1"/>
        </w:numPr>
        <w:autoSpaceDE w:val="0"/>
        <w:autoSpaceDN w:val="0"/>
        <w:adjustRightInd w:val="0"/>
        <w:spacing w:after="0" w:line="326" w:lineRule="atLeast"/>
        <w:ind w:left="720" w:right="19" w:hanging="360"/>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The Articles of Association have never been altered since; </w:t>
      </w:r>
    </w:p>
    <w:p w:rsidR="006B46F2" w:rsidRPr="000B5972" w:rsidRDefault="00E6737C" w:rsidP="000B5972">
      <w:pPr>
        <w:widowControl w:val="0"/>
        <w:numPr>
          <w:ilvl w:val="0"/>
          <w:numId w:val="1"/>
        </w:numPr>
        <w:autoSpaceDE w:val="0"/>
        <w:autoSpaceDN w:val="0"/>
        <w:adjustRightInd w:val="0"/>
        <w:spacing w:after="0" w:line="326" w:lineRule="atLeast"/>
        <w:ind w:left="720" w:right="24" w:hanging="360"/>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During a meeting of the Board of the Foundation, held in Amsterdam on the sixth of July two thousand and sixteen, a resolution was adopted to partially amend the Articles of Association; </w:t>
      </w:r>
    </w:p>
    <w:p w:rsidR="006B46F2" w:rsidRPr="000B5972" w:rsidRDefault="00E6737C" w:rsidP="000B5972">
      <w:pPr>
        <w:widowControl w:val="0"/>
        <w:numPr>
          <w:ilvl w:val="0"/>
          <w:numId w:val="1"/>
        </w:numPr>
        <w:autoSpaceDE w:val="0"/>
        <w:autoSpaceDN w:val="0"/>
        <w:adjustRightInd w:val="0"/>
        <w:spacing w:after="0" w:line="326" w:lineRule="atLeast"/>
        <w:ind w:left="720" w:right="19" w:hanging="360"/>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The resolution referred to is evident from an excerpt of the minutes of this meeting which will be attached to this instrument. </w:t>
      </w:r>
    </w:p>
    <w:p w:rsidR="006B46F2" w:rsidRPr="000B5972" w:rsidRDefault="00E6737C">
      <w:pPr>
        <w:widowControl w:val="0"/>
        <w:autoSpaceDE w:val="0"/>
        <w:autoSpaceDN w:val="0"/>
        <w:adjustRightInd w:val="0"/>
        <w:spacing w:after="0" w:line="326" w:lineRule="atLeast"/>
        <w:ind w:left="9"/>
        <w:rPr>
          <w:rFonts w:ascii="Arial" w:hAnsi="Arial" w:cs="Arial"/>
          <w:b/>
          <w:bCs/>
          <w:color w:val="000000"/>
          <w:sz w:val="20"/>
          <w:szCs w:val="20"/>
          <w:highlight w:val="white"/>
          <w:lang w:val="en-US"/>
        </w:rPr>
      </w:pPr>
      <w:r w:rsidRPr="000B5972">
        <w:rPr>
          <w:rFonts w:ascii="Arial" w:hAnsi="Arial" w:cs="Arial"/>
          <w:b/>
          <w:bCs/>
          <w:color w:val="000000"/>
          <w:sz w:val="20"/>
          <w:szCs w:val="20"/>
          <w:highlight w:val="white"/>
          <w:lang w:val="en-US"/>
        </w:rPr>
        <w:t xml:space="preserve">Amendment to the Articles of Association </w:t>
      </w:r>
    </w:p>
    <w:p w:rsidR="006B46F2" w:rsidRPr="000B5972" w:rsidRDefault="00E6737C">
      <w:pPr>
        <w:widowControl w:val="0"/>
        <w:autoSpaceDE w:val="0"/>
        <w:autoSpaceDN w:val="0"/>
        <w:adjustRightInd w:val="0"/>
        <w:spacing w:before="4" w:after="0" w:line="321" w:lineRule="atLeast"/>
        <w:ind w:right="33"/>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In implementation of the aforementioned resolution to amend the Articles of Association, the person appearing made a statement to revoke Article 2. </w:t>
      </w:r>
      <w:proofErr w:type="gramStart"/>
      <w:r w:rsidRPr="000B5972">
        <w:rPr>
          <w:rFonts w:ascii="Arial" w:hAnsi="Arial" w:cs="Arial"/>
          <w:color w:val="000000"/>
          <w:sz w:val="19"/>
          <w:szCs w:val="19"/>
          <w:highlight w:val="white"/>
          <w:lang w:val="en-US"/>
        </w:rPr>
        <w:t>and</w:t>
      </w:r>
      <w:proofErr w:type="gramEnd"/>
      <w:r w:rsidRPr="000B5972">
        <w:rPr>
          <w:rFonts w:ascii="Arial" w:hAnsi="Arial" w:cs="Arial"/>
          <w:color w:val="000000"/>
          <w:sz w:val="19"/>
          <w:szCs w:val="19"/>
          <w:highlight w:val="white"/>
          <w:lang w:val="en-US"/>
        </w:rPr>
        <w:t xml:space="preserve"> to adopt it again, after which said Article shall read as follows: </w:t>
      </w:r>
    </w:p>
    <w:p w:rsidR="006B46F2" w:rsidRPr="000B5972" w:rsidRDefault="00E6737C" w:rsidP="00233E2F">
      <w:pPr>
        <w:widowControl w:val="0"/>
        <w:tabs>
          <w:tab w:val="left" w:pos="533"/>
        </w:tabs>
        <w:autoSpaceDE w:val="0"/>
        <w:autoSpaceDN w:val="0"/>
        <w:adjustRightInd w:val="0"/>
        <w:spacing w:after="0" w:line="331" w:lineRule="atLeast"/>
        <w:ind w:left="566" w:hanging="566"/>
        <w:rPr>
          <w:rFonts w:ascii="Times New Roman" w:hAnsi="Times New Roman" w:cs="Times New Roman"/>
          <w:i/>
          <w:iCs/>
          <w:color w:val="000000"/>
          <w:sz w:val="23"/>
          <w:szCs w:val="23"/>
          <w:highlight w:val="white"/>
          <w:lang w:val="en-US"/>
        </w:rPr>
      </w:pPr>
      <w:r w:rsidRPr="000B5972">
        <w:rPr>
          <w:rFonts w:ascii="Times New Roman" w:hAnsi="Times New Roman" w:cs="Times New Roman"/>
          <w:i/>
          <w:iCs/>
          <w:color w:val="000000"/>
          <w:sz w:val="23"/>
          <w:szCs w:val="23"/>
          <w:highlight w:val="white"/>
          <w:lang w:val="en-US"/>
        </w:rPr>
        <w:t xml:space="preserve">2.1.  </w:t>
      </w:r>
      <w:r w:rsidRPr="000B5972">
        <w:rPr>
          <w:rFonts w:ascii="Arial" w:hAnsi="Arial" w:cs="Arial"/>
          <w:i/>
          <w:iCs/>
          <w:color w:val="000000"/>
          <w:sz w:val="14"/>
          <w:szCs w:val="14"/>
          <w:highlight w:val="white"/>
          <w:lang w:val="en-US"/>
        </w:rPr>
        <w:tab/>
      </w:r>
      <w:r w:rsidRPr="000B5972">
        <w:rPr>
          <w:rFonts w:ascii="Times New Roman" w:hAnsi="Times New Roman" w:cs="Times New Roman"/>
          <w:i/>
          <w:iCs/>
          <w:color w:val="000000"/>
          <w:sz w:val="21"/>
          <w:szCs w:val="21"/>
          <w:highlight w:val="white"/>
          <w:lang w:val="en-US"/>
        </w:rPr>
        <w:t xml:space="preserve">The Foundation has as its objective: to prepare and to realize an international Tribunal in The Hague against the multinational American company Monsanto  on account of crimes against humanity, as well as </w:t>
      </w:r>
      <w:r w:rsidRPr="000B5972">
        <w:rPr>
          <w:rFonts w:ascii="Times New Roman" w:hAnsi="Times New Roman" w:cs="Times New Roman"/>
          <w:i/>
          <w:iCs/>
          <w:color w:val="000000"/>
          <w:sz w:val="23"/>
          <w:szCs w:val="23"/>
          <w:highlight w:val="white"/>
          <w:lang w:val="en-US"/>
        </w:rPr>
        <w:t xml:space="preserve">to exert influence on international politics and society in such a manner that Monsanto is banned from Europe as to retain a diversified agriculture and to protect public health, to support the protection of the environment, the climate and consumers, and to furthermore do everything that is directly or indirectly related or that may be conducive thereto, the aforesaid in the widest sense of the word. </w:t>
      </w:r>
    </w:p>
    <w:p w:rsidR="006B46F2" w:rsidRPr="000B5972" w:rsidRDefault="00E6737C">
      <w:pPr>
        <w:widowControl w:val="0"/>
        <w:autoSpaceDE w:val="0"/>
        <w:autoSpaceDN w:val="0"/>
        <w:adjustRightInd w:val="0"/>
        <w:spacing w:after="0" w:line="360" w:lineRule="auto"/>
        <w:rPr>
          <w:rFonts w:ascii="Times New Roman" w:hAnsi="Times New Roman" w:cs="Times New Roman"/>
          <w:i/>
          <w:iCs/>
          <w:color w:val="000000"/>
          <w:sz w:val="23"/>
          <w:szCs w:val="23"/>
          <w:highlight w:val="white"/>
          <w:lang w:val="en-US"/>
        </w:rPr>
      </w:pPr>
      <w:r w:rsidRPr="000B5972">
        <w:rPr>
          <w:rFonts w:ascii="Times New Roman" w:hAnsi="Times New Roman" w:cs="Times New Roman"/>
          <w:i/>
          <w:iCs/>
          <w:color w:val="000000"/>
          <w:sz w:val="23"/>
          <w:szCs w:val="23"/>
          <w:highlight w:val="white"/>
          <w:lang w:val="en-US"/>
        </w:rPr>
        <w:t>2.2.   The Foundation attempts to achieve said objective in ways that include:</w:t>
      </w:r>
    </w:p>
    <w:p w:rsidR="006B46F2" w:rsidRPr="000B5972" w:rsidRDefault="00E6737C">
      <w:pPr>
        <w:widowControl w:val="0"/>
        <w:tabs>
          <w:tab w:val="left" w:pos="548"/>
          <w:tab w:val="left" w:pos="1095"/>
        </w:tabs>
        <w:autoSpaceDE w:val="0"/>
        <w:autoSpaceDN w:val="0"/>
        <w:adjustRightInd w:val="0"/>
        <w:spacing w:after="0" w:line="360" w:lineRule="auto"/>
        <w:rPr>
          <w:rFonts w:ascii="Times New Roman" w:hAnsi="Times New Roman" w:cs="Times New Roman"/>
          <w:i/>
          <w:iCs/>
          <w:color w:val="000000"/>
          <w:sz w:val="23"/>
          <w:szCs w:val="23"/>
          <w:highlight w:val="white"/>
          <w:lang w:val="en-US"/>
        </w:rPr>
      </w:pPr>
      <w:r w:rsidRPr="000B5972">
        <w:rPr>
          <w:rFonts w:ascii="Times New Roman" w:hAnsi="Times New Roman" w:cs="Times New Roman"/>
          <w:sz w:val="23"/>
          <w:szCs w:val="23"/>
          <w:highlight w:val="white"/>
          <w:lang w:val="en-US"/>
        </w:rPr>
        <w:tab/>
      </w:r>
      <w:proofErr w:type="spellStart"/>
      <w:proofErr w:type="gramStart"/>
      <w:r w:rsidRPr="000B5972">
        <w:rPr>
          <w:rFonts w:ascii="Times New Roman" w:hAnsi="Times New Roman" w:cs="Times New Roman"/>
          <w:sz w:val="23"/>
          <w:szCs w:val="23"/>
          <w:highlight w:val="white"/>
          <w:lang w:val="en-US"/>
        </w:rPr>
        <w:t>a</w:t>
      </w:r>
      <w:proofErr w:type="spellEnd"/>
      <w:proofErr w:type="gramEnd"/>
      <w:r w:rsidRPr="000B5972">
        <w:rPr>
          <w:rFonts w:ascii="Times New Roman" w:hAnsi="Times New Roman" w:cs="Times New Roman"/>
          <w:i/>
          <w:iCs/>
          <w:color w:val="000000"/>
          <w:sz w:val="23"/>
          <w:szCs w:val="23"/>
          <w:highlight w:val="white"/>
          <w:lang w:val="en-US"/>
        </w:rPr>
        <w:t xml:space="preserve"> </w:t>
      </w:r>
      <w:r w:rsidRPr="000B5972">
        <w:rPr>
          <w:rFonts w:ascii="Times New Roman" w:hAnsi="Times New Roman" w:cs="Times New Roman"/>
          <w:i/>
          <w:iCs/>
          <w:color w:val="000000"/>
          <w:sz w:val="23"/>
          <w:szCs w:val="23"/>
          <w:highlight w:val="white"/>
          <w:lang w:val="en-US"/>
        </w:rPr>
        <w:tab/>
        <w:t xml:space="preserve">Engaging sponsors; </w:t>
      </w:r>
    </w:p>
    <w:p w:rsidR="006B46F2" w:rsidRPr="000B5972" w:rsidRDefault="00E6737C">
      <w:pPr>
        <w:widowControl w:val="0"/>
        <w:autoSpaceDE w:val="0"/>
        <w:autoSpaceDN w:val="0"/>
        <w:adjustRightInd w:val="0"/>
        <w:spacing w:after="0" w:line="360" w:lineRule="auto"/>
        <w:ind w:right="-1" w:firstLine="566"/>
        <w:rPr>
          <w:rFonts w:ascii="Times New Roman" w:hAnsi="Times New Roman" w:cs="Times New Roman"/>
          <w:i/>
          <w:iCs/>
          <w:color w:val="000000"/>
          <w:sz w:val="23"/>
          <w:szCs w:val="23"/>
          <w:highlight w:val="white"/>
          <w:lang w:val="en-US"/>
        </w:rPr>
      </w:pPr>
      <w:r w:rsidRPr="000B5972">
        <w:rPr>
          <w:rFonts w:ascii="Times New Roman" w:hAnsi="Times New Roman" w:cs="Times New Roman"/>
          <w:color w:val="000000"/>
          <w:sz w:val="23"/>
          <w:szCs w:val="23"/>
          <w:highlight w:val="white"/>
          <w:lang w:val="en-US"/>
        </w:rPr>
        <w:t>b</w:t>
      </w:r>
      <w:r w:rsidRPr="000B5972">
        <w:rPr>
          <w:rFonts w:ascii="Times New Roman" w:hAnsi="Times New Roman" w:cs="Times New Roman"/>
          <w:i/>
          <w:iCs/>
          <w:color w:val="000000"/>
          <w:sz w:val="23"/>
          <w:szCs w:val="23"/>
          <w:highlight w:val="white"/>
          <w:lang w:val="en-US"/>
        </w:rPr>
        <w:t xml:space="preserve">.    Calling witnesses; </w:t>
      </w:r>
    </w:p>
    <w:p w:rsidR="006B46F2" w:rsidRPr="000B5972" w:rsidRDefault="00233E2F">
      <w:pPr>
        <w:widowControl w:val="0"/>
        <w:autoSpaceDE w:val="0"/>
        <w:autoSpaceDN w:val="0"/>
        <w:adjustRightInd w:val="0"/>
        <w:spacing w:after="0" w:line="360" w:lineRule="auto"/>
        <w:ind w:right="-1" w:firstLine="566"/>
        <w:rPr>
          <w:rFonts w:ascii="Times New Roman" w:hAnsi="Times New Roman" w:cs="Times New Roman"/>
          <w:i/>
          <w:iCs/>
          <w:color w:val="000000"/>
          <w:sz w:val="23"/>
          <w:szCs w:val="23"/>
          <w:highlight w:val="white"/>
          <w:lang w:val="en-US"/>
        </w:rPr>
      </w:pPr>
      <w:r>
        <w:rPr>
          <w:rFonts w:ascii="Times New Roman" w:hAnsi="Times New Roman" w:cs="Times New Roman"/>
          <w:color w:val="000000"/>
          <w:sz w:val="23"/>
          <w:szCs w:val="23"/>
          <w:highlight w:val="white"/>
          <w:lang w:val="en-US"/>
        </w:rPr>
        <w:t>c.</w:t>
      </w:r>
      <w:r>
        <w:rPr>
          <w:rFonts w:ascii="Times New Roman" w:hAnsi="Times New Roman" w:cs="Times New Roman"/>
          <w:color w:val="000000"/>
          <w:sz w:val="23"/>
          <w:szCs w:val="23"/>
          <w:highlight w:val="white"/>
          <w:lang w:val="en-US"/>
        </w:rPr>
        <w:tab/>
      </w:r>
      <w:bookmarkStart w:id="0" w:name="_GoBack"/>
      <w:bookmarkEnd w:id="0"/>
      <w:r w:rsidR="00E6737C" w:rsidRPr="000B5972">
        <w:rPr>
          <w:rFonts w:ascii="Times New Roman" w:hAnsi="Times New Roman" w:cs="Times New Roman"/>
          <w:i/>
          <w:iCs/>
          <w:color w:val="000000"/>
          <w:sz w:val="23"/>
          <w:szCs w:val="23"/>
          <w:highlight w:val="white"/>
          <w:lang w:val="en-US"/>
        </w:rPr>
        <w:t xml:space="preserve">Crowdfunding. </w:t>
      </w:r>
    </w:p>
    <w:p w:rsidR="006B46F2" w:rsidRPr="000B5972" w:rsidRDefault="00E6737C">
      <w:pPr>
        <w:widowControl w:val="0"/>
        <w:autoSpaceDE w:val="0"/>
        <w:autoSpaceDN w:val="0"/>
        <w:adjustRightInd w:val="0"/>
        <w:spacing w:after="0" w:line="336" w:lineRule="atLeast"/>
        <w:ind w:left="19" w:right="-90"/>
        <w:rPr>
          <w:rFonts w:ascii="Times New Roman" w:hAnsi="Times New Roman" w:cs="Times New Roman"/>
          <w:color w:val="000000"/>
          <w:sz w:val="18"/>
          <w:szCs w:val="18"/>
          <w:highlight w:val="white"/>
          <w:lang w:val="en-US"/>
        </w:rPr>
      </w:pPr>
      <w:r w:rsidRPr="000B5972">
        <w:rPr>
          <w:rFonts w:ascii="Times New Roman" w:hAnsi="Times New Roman" w:cs="Times New Roman"/>
          <w:i/>
          <w:iCs/>
          <w:color w:val="000000"/>
          <w:sz w:val="23"/>
          <w:szCs w:val="23"/>
          <w:highlight w:val="white"/>
          <w:lang w:val="en-US"/>
        </w:rPr>
        <w:t xml:space="preserve">2.3.   The Foundation is a </w:t>
      </w:r>
      <w:r w:rsidRPr="000B5972">
        <w:rPr>
          <w:rFonts w:ascii="Times New Roman" w:hAnsi="Times New Roman" w:cs="Times New Roman"/>
          <w:i/>
          <w:iCs/>
          <w:color w:val="000000"/>
          <w:highlight w:val="white"/>
          <w:lang w:val="en-US"/>
        </w:rPr>
        <w:t xml:space="preserve">Public Benefit </w:t>
      </w:r>
      <w:proofErr w:type="spellStart"/>
      <w:r w:rsidRPr="000B5972">
        <w:rPr>
          <w:rFonts w:ascii="Times New Roman" w:hAnsi="Times New Roman" w:cs="Times New Roman"/>
          <w:i/>
          <w:iCs/>
          <w:color w:val="000000"/>
          <w:highlight w:val="white"/>
          <w:lang w:val="en-US"/>
        </w:rPr>
        <w:t>Organisation</w:t>
      </w:r>
      <w:proofErr w:type="spellEnd"/>
      <w:r w:rsidRPr="000B5972">
        <w:rPr>
          <w:rFonts w:ascii="Times New Roman" w:hAnsi="Times New Roman" w:cs="Times New Roman"/>
          <w:i/>
          <w:iCs/>
          <w:color w:val="000000"/>
          <w:highlight w:val="white"/>
          <w:lang w:val="en-US"/>
        </w:rPr>
        <w:t xml:space="preserve"> (</w:t>
      </w:r>
      <w:proofErr w:type="spellStart"/>
      <w:r w:rsidRPr="000B5972">
        <w:rPr>
          <w:rFonts w:ascii="Times New Roman" w:hAnsi="Times New Roman" w:cs="Times New Roman"/>
          <w:color w:val="000000"/>
          <w:sz w:val="18"/>
          <w:szCs w:val="18"/>
          <w:highlight w:val="white"/>
          <w:lang w:val="en-US"/>
        </w:rPr>
        <w:t>een</w:t>
      </w:r>
      <w:proofErr w:type="spellEnd"/>
      <w:r w:rsidRPr="000B5972">
        <w:rPr>
          <w:rFonts w:ascii="Times New Roman" w:hAnsi="Times New Roman" w:cs="Times New Roman"/>
          <w:color w:val="000000"/>
          <w:sz w:val="18"/>
          <w:szCs w:val="18"/>
          <w:highlight w:val="white"/>
          <w:lang w:val="en-US"/>
        </w:rPr>
        <w:t xml:space="preserve"> </w:t>
      </w:r>
      <w:proofErr w:type="spellStart"/>
      <w:r w:rsidRPr="000B5972">
        <w:rPr>
          <w:rFonts w:ascii="Times New Roman" w:hAnsi="Times New Roman" w:cs="Times New Roman"/>
          <w:color w:val="000000"/>
          <w:sz w:val="18"/>
          <w:szCs w:val="18"/>
          <w:highlight w:val="white"/>
          <w:lang w:val="en-US"/>
        </w:rPr>
        <w:t>algemeen</w:t>
      </w:r>
      <w:proofErr w:type="spellEnd"/>
      <w:r w:rsidRPr="000B5972">
        <w:rPr>
          <w:rFonts w:ascii="Times New Roman" w:hAnsi="Times New Roman" w:cs="Times New Roman"/>
          <w:color w:val="000000"/>
          <w:sz w:val="18"/>
          <w:szCs w:val="18"/>
          <w:highlight w:val="white"/>
          <w:lang w:val="en-US"/>
        </w:rPr>
        <w:t xml:space="preserve"> nut </w:t>
      </w:r>
      <w:proofErr w:type="spellStart"/>
      <w:r w:rsidRPr="000B5972">
        <w:rPr>
          <w:rFonts w:ascii="Times New Roman" w:hAnsi="Times New Roman" w:cs="Times New Roman"/>
          <w:color w:val="000000"/>
          <w:sz w:val="18"/>
          <w:szCs w:val="18"/>
          <w:highlight w:val="white"/>
          <w:lang w:val="en-US"/>
        </w:rPr>
        <w:t>beogende</w:t>
      </w:r>
      <w:proofErr w:type="spellEnd"/>
    </w:p>
    <w:p w:rsidR="006B46F2" w:rsidRPr="000B5972" w:rsidRDefault="00E6737C">
      <w:pPr>
        <w:widowControl w:val="0"/>
        <w:autoSpaceDE w:val="0"/>
        <w:autoSpaceDN w:val="0"/>
        <w:adjustRightInd w:val="0"/>
        <w:spacing w:after="0" w:line="336" w:lineRule="atLeast"/>
        <w:ind w:left="19" w:right="-90"/>
        <w:rPr>
          <w:rFonts w:ascii="Times New Roman" w:hAnsi="Times New Roman" w:cs="Times New Roman"/>
          <w:b/>
          <w:bCs/>
          <w:color w:val="000000"/>
          <w:sz w:val="23"/>
          <w:szCs w:val="23"/>
          <w:highlight w:val="white"/>
          <w:lang w:val="en-US"/>
        </w:rPr>
      </w:pPr>
      <w:r w:rsidRPr="000B5972">
        <w:rPr>
          <w:rFonts w:ascii="Times New Roman" w:hAnsi="Times New Roman" w:cs="Times New Roman"/>
          <w:color w:val="000000"/>
          <w:sz w:val="23"/>
          <w:szCs w:val="23"/>
          <w:highlight w:val="white"/>
          <w:lang w:val="en-US"/>
        </w:rPr>
        <w:t xml:space="preserve">     </w:t>
      </w:r>
      <w:r w:rsidRPr="000B5972">
        <w:rPr>
          <w:rFonts w:ascii="Times New Roman" w:hAnsi="Times New Roman" w:cs="Times New Roman"/>
          <w:color w:val="000000"/>
          <w:sz w:val="18"/>
          <w:szCs w:val="18"/>
          <w:highlight w:val="white"/>
          <w:lang w:val="en-US"/>
        </w:rPr>
        <w:t xml:space="preserve"> </w:t>
      </w:r>
      <w:proofErr w:type="spellStart"/>
      <w:proofErr w:type="gramStart"/>
      <w:r w:rsidRPr="000B5972">
        <w:rPr>
          <w:rFonts w:ascii="Times New Roman" w:hAnsi="Times New Roman" w:cs="Times New Roman"/>
          <w:color w:val="000000"/>
          <w:sz w:val="18"/>
          <w:szCs w:val="18"/>
          <w:highlight w:val="white"/>
          <w:lang w:val="en-US"/>
        </w:rPr>
        <w:t>instelling</w:t>
      </w:r>
      <w:proofErr w:type="spellEnd"/>
      <w:proofErr w:type="gramEnd"/>
      <w:r w:rsidRPr="000B5972">
        <w:rPr>
          <w:rFonts w:ascii="Times New Roman" w:hAnsi="Times New Roman" w:cs="Times New Roman"/>
          <w:i/>
          <w:iCs/>
          <w:color w:val="000000"/>
          <w:sz w:val="18"/>
          <w:szCs w:val="18"/>
          <w:highlight w:val="white"/>
          <w:lang w:val="en-US"/>
        </w:rPr>
        <w:t xml:space="preserve"> </w:t>
      </w:r>
      <w:r w:rsidRPr="000B5972">
        <w:rPr>
          <w:rFonts w:ascii="Times New Roman" w:hAnsi="Times New Roman" w:cs="Times New Roman"/>
          <w:i/>
          <w:iCs/>
          <w:color w:val="000000"/>
          <w:sz w:val="23"/>
          <w:szCs w:val="23"/>
          <w:highlight w:val="white"/>
          <w:lang w:val="en-US"/>
        </w:rPr>
        <w:t xml:space="preserve">or ANBI). </w:t>
      </w:r>
      <w:r w:rsidRPr="000B5972">
        <w:rPr>
          <w:rFonts w:ascii="Times New Roman" w:hAnsi="Times New Roman" w:cs="Times New Roman"/>
          <w:i/>
          <w:iCs/>
          <w:color w:val="000000"/>
          <w:sz w:val="23"/>
          <w:szCs w:val="23"/>
          <w:highlight w:val="white"/>
          <w:lang w:val="en-US"/>
        </w:rPr>
        <w:br/>
      </w:r>
      <w:r w:rsidRPr="000B5972">
        <w:rPr>
          <w:rFonts w:ascii="Times New Roman" w:hAnsi="Times New Roman" w:cs="Times New Roman"/>
          <w:b/>
          <w:bCs/>
          <w:color w:val="000000"/>
          <w:sz w:val="23"/>
          <w:szCs w:val="23"/>
          <w:highlight w:val="white"/>
          <w:lang w:val="en-US"/>
        </w:rPr>
        <w:t xml:space="preserve">Conclusion of the instrument </w:t>
      </w:r>
    </w:p>
    <w:p w:rsidR="006B46F2" w:rsidRPr="000B5972" w:rsidRDefault="00E6737C">
      <w:pPr>
        <w:widowControl w:val="0"/>
        <w:autoSpaceDE w:val="0"/>
        <w:autoSpaceDN w:val="0"/>
        <w:adjustRightInd w:val="0"/>
        <w:spacing w:after="0" w:line="321" w:lineRule="atLeast"/>
        <w:ind w:left="19" w:right="3"/>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The person appearing is known to me, civil-law notary. </w:t>
      </w:r>
    </w:p>
    <w:p w:rsidR="006B46F2" w:rsidRPr="000B5972" w:rsidRDefault="00E6737C">
      <w:pPr>
        <w:widowControl w:val="0"/>
        <w:autoSpaceDE w:val="0"/>
        <w:autoSpaceDN w:val="0"/>
        <w:adjustRightInd w:val="0"/>
        <w:spacing w:after="0" w:line="321" w:lineRule="atLeast"/>
        <w:ind w:left="19" w:right="3"/>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This instrument was executed in Haarlem on the date first hereinbefore written.  </w:t>
      </w:r>
    </w:p>
    <w:p w:rsidR="006B46F2" w:rsidRPr="000B5972" w:rsidRDefault="00E6737C">
      <w:pPr>
        <w:widowControl w:val="0"/>
        <w:autoSpaceDE w:val="0"/>
        <w:autoSpaceDN w:val="0"/>
        <w:adjustRightInd w:val="0"/>
        <w:spacing w:after="0" w:line="326" w:lineRule="atLeast"/>
        <w:ind w:left="14" w:right="3"/>
        <w:rPr>
          <w:rFonts w:ascii="Arial" w:hAnsi="Arial" w:cs="Arial"/>
          <w:color w:val="000000"/>
          <w:sz w:val="19"/>
          <w:szCs w:val="19"/>
          <w:highlight w:val="white"/>
          <w:lang w:val="en-US"/>
        </w:rPr>
      </w:pPr>
      <w:r w:rsidRPr="000B5972">
        <w:rPr>
          <w:rFonts w:ascii="Arial" w:hAnsi="Arial" w:cs="Arial"/>
          <w:color w:val="000000"/>
          <w:sz w:val="19"/>
          <w:szCs w:val="19"/>
          <w:highlight w:val="white"/>
          <w:lang w:val="en-US"/>
        </w:rPr>
        <w:t xml:space="preserve">I have discussed the contents of this instrument with the persons appearing and I have provided explanations and I have pointed out the legal consequences of the instrument, they have stated that they have become aware of the contents and the purport of this instrument in good time as a result of which there is no need to read the instrument out in full. After having been read out in brief, this instrument has been signed by the person appearing and by me. </w:t>
      </w:r>
    </w:p>
    <w:p w:rsidR="00E6737C" w:rsidRPr="000B5972" w:rsidRDefault="00E6737C">
      <w:pPr>
        <w:widowControl w:val="0"/>
        <w:autoSpaceDE w:val="0"/>
        <w:autoSpaceDN w:val="0"/>
        <w:adjustRightInd w:val="0"/>
        <w:spacing w:after="0" w:line="240" w:lineRule="auto"/>
        <w:rPr>
          <w:rFonts w:ascii="Arial" w:hAnsi="Arial" w:cs="Arial"/>
          <w:sz w:val="19"/>
          <w:szCs w:val="19"/>
          <w:lang w:val="en-US"/>
        </w:rPr>
      </w:pPr>
    </w:p>
    <w:sectPr w:rsidR="00E6737C" w:rsidRPr="000B597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2A22A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72"/>
    <w:rsid w:val="000B5972"/>
    <w:rsid w:val="00233E2F"/>
    <w:rsid w:val="006B46F2"/>
    <w:rsid w:val="00E673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EEE103-D7FD-4319-B335-237A0CA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lehnherr</dc:creator>
  <cp:keywords/>
  <dc:description/>
  <cp:lastModifiedBy>lehnherr</cp:lastModifiedBy>
  <cp:revision>3</cp:revision>
  <dcterms:created xsi:type="dcterms:W3CDTF">2016-07-20T07:53:00Z</dcterms:created>
  <dcterms:modified xsi:type="dcterms:W3CDTF">2016-07-20T08:36:00Z</dcterms:modified>
</cp:coreProperties>
</file>